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12000" cy="12169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eg-prod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21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Руководство пользователя</w:t>
      </w:r>
    </w:p>
    <w:p>
      <w:r>
        <w:rPr>
          <w:color w:val="465D66"/>
          <w:sz w:val="28"/>
        </w:rPr>
        <w:t>К-РЕГЛАМЕНТ Про 1.0</w:t>
      </w:r>
    </w:p>
    <w:p>
      <w:r>
        <w:rPr>
          <w:color w:val="465D66"/>
          <w:sz w:val="18"/>
        </w:rPr>
        <w:t>Версия документа: 1.0  |  Август 2026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1F2930"/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r>
              <w:rPr>
                <w:b/>
                <w:color w:val="FFFFFF"/>
                <w:sz w:val="26"/>
              </w:rPr>
              <w:t>Документооборот и контроль исполнения поручений</w:t>
            </w:r>
          </w:p>
        </w:tc>
      </w:tr>
    </w:tbl>
    <w:p>
      <w:r>
        <w:br w:type="page"/>
      </w:r>
    </w:p>
    <w:p>
      <w:pPr>
        <w:pStyle w:val="Heading1"/>
      </w:pPr>
      <w:r>
        <w:t>Содержание</w:t>
      </w:r>
    </w:p>
    <w:p>
      <w:r>
        <w:rPr>
          <w:b/>
          <w:color w:val="1F2930"/>
        </w:rPr>
        <w:t>01  О системе и роли пользователя</w:t>
      </w:r>
    </w:p>
    <w:p>
      <w:r>
        <w:rPr>
          <w:b/>
          <w:color w:val="1F2930"/>
        </w:rPr>
        <w:t>02  Вход и рабочая область</w:t>
      </w:r>
    </w:p>
    <w:p>
      <w:r>
        <w:rPr>
          <w:b/>
          <w:color w:val="1F2930"/>
        </w:rPr>
        <w:t>03  Документы и журналы</w:t>
      </w:r>
    </w:p>
    <w:p>
      <w:r>
        <w:rPr>
          <w:b w:val="0"/>
          <w:color w:val="1F2930"/>
        </w:rPr>
        <w:t>04  Регистрация входящих</w:t>
      </w:r>
    </w:p>
    <w:p>
      <w:r>
        <w:rPr>
          <w:b w:val="0"/>
          <w:color w:val="1F2930"/>
        </w:rPr>
        <w:t>05  Регистрация исходящих</w:t>
      </w:r>
    </w:p>
    <w:p>
      <w:r>
        <w:rPr>
          <w:b w:val="0"/>
          <w:color w:val="1F2930"/>
        </w:rPr>
        <w:t>06  Внутренние документы</w:t>
      </w:r>
    </w:p>
    <w:p>
      <w:r>
        <w:rPr>
          <w:b w:val="0"/>
          <w:color w:val="1F2930"/>
        </w:rPr>
        <w:t>07  Файлы, версии и связи</w:t>
      </w:r>
    </w:p>
    <w:p>
      <w:r>
        <w:rPr>
          <w:b w:val="0"/>
          <w:color w:val="1F2930"/>
        </w:rPr>
        <w:t>08  Задачи и поручения</w:t>
      </w:r>
    </w:p>
    <w:p>
      <w:r>
        <w:rPr>
          <w:b w:val="0"/>
          <w:color w:val="1F2930"/>
        </w:rPr>
        <w:t>09  Контроль исполнения и ответа</w:t>
      </w:r>
    </w:p>
    <w:p>
      <w:r>
        <w:rPr>
          <w:b w:val="0"/>
          <w:color w:val="1F2930"/>
        </w:rPr>
        <w:t>10  Почтовая очередь</w:t>
      </w:r>
    </w:p>
    <w:p>
      <w:r>
        <w:rPr>
          <w:b w:val="0"/>
          <w:color w:val="1F2930"/>
        </w:rPr>
        <w:t>11  Поиск, фильтры и сохранённые представления</w:t>
      </w:r>
    </w:p>
    <w:p>
      <w:r>
        <w:rPr>
          <w:b w:val="0"/>
          <w:color w:val="1F2930"/>
        </w:rPr>
        <w:t>12  Уведомления</w:t>
      </w:r>
    </w:p>
    <w:p>
      <w:r>
        <w:rPr>
          <w:b w:val="0"/>
          <w:color w:val="1F2930"/>
        </w:rPr>
        <w:t>13  Публичная проверка документов</w:t>
      </w:r>
    </w:p>
    <w:p>
      <w:r>
        <w:rPr>
          <w:b w:val="0"/>
          <w:color w:val="1F2930"/>
        </w:rPr>
        <w:t>14  Лицензионные состояния</w:t>
      </w:r>
    </w:p>
    <w:p>
      <w:r>
        <w:rPr>
          <w:b w:val="0"/>
          <w:color w:val="1F2930"/>
        </w:rPr>
        <w:t>15  Ошибки, справка и восстановление работы</w:t>
      </w:r>
    </w:p>
    <w:p>
      <w:r>
        <w:rPr>
          <w:b w:val="0"/>
          <w:color w:val="1F2930"/>
        </w:rPr>
        <w:t>16  Безопасная работа и персональные данные</w:t>
      </w:r>
    </w:p>
    <w:p>
      <w:r>
        <w:rPr>
          <w:b w:val="0"/>
          <w:color w:val="1F2930"/>
        </w:rPr>
        <w:t>17  Глоссарий</w:t>
      </w:r>
    </w:p>
    <w:p>
      <w:r>
        <w:br w:type="page"/>
      </w:r>
    </w:p>
    <w:p>
      <w:pPr>
        <w:pStyle w:val="Heading1"/>
      </w:pPr>
      <w:r>
        <w:t>1. О системе и роли пользователя</w:t>
      </w:r>
    </w:p>
    <w:p>
      <w:r>
        <w:t>К-РЕГЛАМЕНТ Про 1.0 — серверная информационная система для ведения входящих, исходящих и внутренних документов, контроля поручений и сроков, а также работы с организационной структурой, справочниками, почтовой очередью и публичной проверкой статуса документов.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4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465D66"/>
              </w:rPr>
              <w:t>Важно</w:t>
              <w:br/>
            </w:r>
            <w:r>
              <w:t>Набор доступных разделов и действий зависит от прав вашей учётной записи. Если описанная в руководстве кнопка отсутствует, это обычно означает, что соответствующее разрешение не назначено администратором.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06067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-reglament-pro-1.0.rc2-desktop-previe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606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65D66"/>
          <w:sz w:val="17"/>
        </w:rPr>
        <w:t>Рабочая область К-РЕГЛАМЕНТ Про 1.0 на широком экране.</w:t>
      </w:r>
    </w:p>
    <w:p>
      <w:r>
        <w:br w:type="page"/>
      </w:r>
    </w:p>
    <w:p>
      <w:pPr>
        <w:pStyle w:val="Heading1"/>
      </w:pPr>
      <w:r>
        <w:t>2. Вход и рабочая область</w:t>
      </w:r>
    </w:p>
    <w:p>
      <w:pPr>
        <w:pStyle w:val="ListNumber"/>
      </w:pPr>
      <w:r>
        <w:t>Откройте адрес системы, предоставленный администратором.</w:t>
      </w:r>
    </w:p>
    <w:p>
      <w:pPr>
        <w:pStyle w:val="ListNumber"/>
      </w:pPr>
      <w:r>
        <w:t>Введите логин и пароль.</w:t>
      </w:r>
    </w:p>
    <w:p>
      <w:pPr>
        <w:pStyle w:val="ListNumber"/>
      </w:pPr>
      <w:r>
        <w:t>После входа используйте левую навигацию для перехода между рабочими разделами.</w:t>
      </w:r>
    </w:p>
    <w:p>
      <w:pPr>
        <w:pStyle w:val="ListNumber"/>
      </w:pPr>
      <w:r>
        <w:t>На планшетах и телефонах откройте навигацию кнопкой меню; основной контент перестраивается без горизонтальной прокрутки.</w:t>
      </w:r>
    </w:p>
    <w:p>
      <w:pPr>
        <w:pStyle w:val="ListBullet"/>
      </w:pPr>
      <w:r>
        <w:t>«Работа» — документы, задачи, контроль, почтовая очередь, поиск и связанные ежедневные операции.</w:t>
      </w:r>
    </w:p>
    <w:p>
      <w:pPr>
        <w:pStyle w:val="ListBullet"/>
      </w:pPr>
      <w:r>
        <w:t>«Управление» — разделы, доступные руководителям и администраторам: справочники, организация, настройки, аудит, корзина, диагностика.</w:t>
      </w:r>
    </w:p>
    <w:p>
      <w:pPr>
        <w:pStyle w:val="ListBullet"/>
      </w:pPr>
      <w:r>
        <w:t>Ссылка «Справка» ведёт непосредственно в контекстный раздел встроенной справочной системы.</w:t>
      </w:r>
    </w:p>
    <w:p>
      <w:pPr>
        <w:pStyle w:val="Heading1"/>
      </w:pPr>
      <w:r>
        <w:t>3. Документы и журналы</w:t>
      </w:r>
    </w:p>
    <w:p>
      <w:r>
        <w:t>Основной реестр объединяет документы, доступные пользователю по его полномочиям. Типовые контуры: входящие, исходящие и внутренние документы. Для каждого документа сохраняются регистрационные реквизиты, тип/группа, корреспондент, файлы, связи, задачи и история изменений.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Открыть карточку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Просмотр реквизитов, файлов, связей, задач и истории.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Создать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Новая карточка по разрешённому типу документа.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Редактировать с версией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Сохраняет новую версию с историей.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Редактировать без версии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Изменяет текущую карточку при наличии отдельного права.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Удалить в корзину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Скрывает документ из рабочих списков, но оставляет в БД.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Удалить окончательно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Удаляет документ, связанные записи и журнальные сведения при наличии специального права.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0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gistr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65D66"/>
          <w:sz w:val="17"/>
        </w:rPr>
        <w:t>Пример реестра документов.</w:t>
      </w:r>
    </w:p>
    <w:p>
      <w:pPr>
        <w:pStyle w:val="Heading1"/>
      </w:pPr>
      <w:r>
        <w:t>4. Регистрация входящих</w:t>
      </w:r>
    </w:p>
    <w:p>
      <w:pPr>
        <w:pStyle w:val="ListNumber"/>
      </w:pPr>
      <w:r>
        <w:t>Выберите создание входящего документа.</w:t>
      </w:r>
    </w:p>
    <w:p>
      <w:pPr>
        <w:pStyle w:val="ListNumber"/>
      </w:pPr>
      <w:r>
        <w:t>Укажите дату поступления, корреспондента, вид/тип документа и реквизиты документа отправителя, если они известны.</w:t>
      </w:r>
    </w:p>
    <w:p>
      <w:pPr>
        <w:pStyle w:val="ListNumber"/>
      </w:pPr>
      <w:r>
        <w:t>Добавьте один или несколько сканов основного документа.</w:t>
      </w:r>
    </w:p>
    <w:p>
      <w:pPr>
        <w:pStyle w:val="ListNumber"/>
      </w:pPr>
      <w:r>
        <w:t>При поступлении по электронной почте проверьте текст почтового сообщения.</w:t>
      </w:r>
    </w:p>
    <w:p>
      <w:pPr>
        <w:pStyle w:val="ListNumber"/>
      </w:pPr>
      <w:r>
        <w:t>Добавьте редактируемые версии и приложения, указав роль каждого файла.</w:t>
      </w:r>
    </w:p>
    <w:p>
      <w:pPr>
        <w:pStyle w:val="ListNumber"/>
      </w:pPr>
      <w:r>
        <w:t>Проверьте применяемый шаблон нумерации и подтвердите присвоение номера.</w:t>
      </w:r>
    </w:p>
    <w:p>
      <w:pPr>
        <w:pStyle w:val="ListNumber"/>
      </w:pPr>
      <w:r>
        <w:t>Сохраните карточку и при необходимости создайте поручение/задачу.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4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465D66"/>
              </w:rPr>
              <w:t>Поиск по реквизитам отправителя</w:t>
              <w:br/>
            </w:r>
            <w:r>
              <w:t>Для внешнего отслеживания входящего система может использовать `external_number` и `external_date`. Эти данные заполняйте точно так, как они указаны в документе отправителя.</w:t>
            </w:r>
          </w:p>
        </w:tc>
      </w:tr>
    </w:tbl>
    <w:p/>
    <w:p>
      <w:pPr>
        <w:pStyle w:val="Heading1"/>
      </w:pPr>
      <w:r>
        <w:t>5. Регистрация исходящих</w:t>
      </w:r>
    </w:p>
    <w:p>
      <w:r>
        <w:t>Для исходящего документа исполнитель не назначается как обязательный реквизит регистрации. Перед присвоением автоматического номера система показывает шаблон и будущий номер. Поле «Ручной номер» применяется, когда фактический номер должен отличаться от автоматической последовательности.</w:t>
      </w:r>
    </w:p>
    <w:p>
      <w:pPr>
        <w:pStyle w:val="ListNumber"/>
      </w:pPr>
      <w:r>
        <w:t>Заполните получателя/контрагента, дату и тип документа.</w:t>
      </w:r>
    </w:p>
    <w:p>
      <w:pPr>
        <w:pStyle w:val="ListNumber"/>
      </w:pPr>
      <w:r>
        <w:t>Добавьте файл документа и приложения.</w:t>
      </w:r>
    </w:p>
    <w:p>
      <w:pPr>
        <w:pStyle w:val="ListNumber"/>
      </w:pPr>
      <w:r>
        <w:t>Проверьте предложенный номер и подтвердите регистрацию.</w:t>
      </w:r>
    </w:p>
    <w:p>
      <w:pPr>
        <w:pStyle w:val="ListNumber"/>
      </w:pPr>
      <w:r>
        <w:t>При необходимости включите контроль ответа и задайте срок ожидания.</w:t>
      </w:r>
    </w:p>
    <w:p>
      <w:pPr>
        <w:pStyle w:val="Heading1"/>
      </w:pPr>
      <w:r>
        <w:t>6. Внутренние документы</w:t>
      </w:r>
    </w:p>
    <w:p>
      <w:r>
        <w:t>Внутренние документы могут создаваться сотрудником самостоятельно, если это разрешено в настройках типа документа. Для отдельных типов требуется обязательное согласование непосредственного руководителя: до согласования документ не регистрируется.</w:t>
      </w:r>
    </w:p>
    <w:p>
      <w:pPr>
        <w:pStyle w:val="Heading1"/>
      </w:pPr>
      <w:r>
        <w:t>7. Файлы, версии и связи</w:t>
      </w:r>
    </w:p>
    <w:p>
      <w:pPr>
        <w:pStyle w:val="ListBullet"/>
      </w:pPr>
      <w:r>
        <w:t>SCAN — скан основного документа.</w:t>
      </w:r>
    </w:p>
    <w:p>
      <w:pPr>
        <w:pStyle w:val="ListBullet"/>
      </w:pPr>
      <w:r>
        <w:t>EDITABLE — редактируемая версия.</w:t>
      </w:r>
    </w:p>
    <w:p>
      <w:pPr>
        <w:pStyle w:val="ListBullet"/>
      </w:pPr>
      <w:r>
        <w:t>ATTACHMENT — приложение.</w:t>
      </w:r>
    </w:p>
    <w:p>
      <w:pPr>
        <w:pStyle w:val="ListBullet"/>
      </w:pPr>
      <w:r>
        <w:t>MAIL_ATTACHMENT — дополнительное вложение исходного письма.</w:t>
      </w:r>
    </w:p>
    <w:p>
      <w:r>
        <w:t>Файлы в карточке сгруппированы по роли. Для загруженных объектов отображаются имя, тип, размер и контрольная сумма, когда она доступна. Связи документов позволяют указать ответ, продолжение или иной связанный документ.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0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65D66"/>
          <w:sz w:val="17"/>
        </w:rPr>
        <w:t>Карточка документа: реквизиты, файлы, связи и действия.</w:t>
      </w:r>
    </w:p>
    <w:p>
      <w:pPr>
        <w:pStyle w:val="Heading1"/>
      </w:pPr>
      <w:r>
        <w:t>8. Задачи и поручения</w:t>
      </w:r>
    </w:p>
    <w:p>
      <w:r>
        <w:t>Поручение создаёт контролируемую работу, связанную с документом. В зависимости от полномочий доступны постановка задачи, назначение исполнителя и контролёра, изменение срока, завершение, возврат и просмотр истории.</w:t>
      </w:r>
    </w:p>
    <w:p>
      <w:pPr>
        <w:pStyle w:val="ListNumber"/>
      </w:pPr>
      <w:r>
        <w:t>Откройте документ или раздел задач.</w:t>
      </w:r>
    </w:p>
    <w:p>
      <w:pPr>
        <w:pStyle w:val="ListNumber"/>
      </w:pPr>
      <w:r>
        <w:t>Создайте задачу/поручение и укажите исполнителя, срок и формулировку.</w:t>
      </w:r>
    </w:p>
    <w:p>
      <w:pPr>
        <w:pStyle w:val="ListNumber"/>
      </w:pPr>
      <w:r>
        <w:t>Исполнитель фиксирует результат и завершает задачу.</w:t>
      </w:r>
    </w:p>
    <w:p>
      <w:pPr>
        <w:pStyle w:val="ListNumber"/>
      </w:pPr>
      <w:r>
        <w:t>Контролёр проверяет исполнение, если workflow требует контроля.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0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sk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65D66"/>
          <w:sz w:val="17"/>
        </w:rPr>
        <w:t>Рабочий список задач и поручений.</w:t>
      </w:r>
    </w:p>
    <w:p>
      <w:pPr>
        <w:pStyle w:val="Heading1"/>
      </w:pPr>
      <w:r>
        <w:t>9. Контроль исполнения и ответа</w:t>
      </w:r>
    </w:p>
    <w:p>
      <w:r>
        <w:t>Для исходящих можно поставить напоминание об отсутствии ответа. Исполнителями контроля автоматически являются автор, контролёр и подписант. Контроль закрывается, когда зарегистрирован связанный входящий ответ либо пользователь завершает контроль согласно полномочиям.</w:t>
      </w:r>
    </w:p>
    <w:p>
      <w:pPr>
        <w:pStyle w:val="Heading1"/>
      </w:pPr>
      <w:r>
        <w:t>10. Почтовая очередь</w:t>
      </w:r>
    </w:p>
    <w:p>
      <w:r>
        <w:t>Почтовая очередь используется для разбора входящих сообщений. В списке видны ящик, адресат, отправитель и распознанный контрагент. Письмо можно открыть полностью, просмотреть вложения и зарегистрировать как входящий документ.</w:t>
      </w:r>
    </w:p>
    <w:p>
      <w:pPr>
        <w:pStyle w:val="ListNumber"/>
      </w:pPr>
      <w:r>
        <w:t>Откройте письмо.</w:t>
      </w:r>
    </w:p>
    <w:p>
      <w:pPr>
        <w:pStyle w:val="ListNumber"/>
      </w:pPr>
      <w:r>
        <w:t>Проверьте From/To, тему, текст и вложения.</w:t>
      </w:r>
    </w:p>
    <w:p>
      <w:pPr>
        <w:pStyle w:val="ListNumber"/>
      </w:pPr>
      <w:r>
        <w:t>Для каждого вложения выберите «Скан документа» либо «Дополнительный документ».</w:t>
      </w:r>
    </w:p>
    <w:p>
      <w:pPr>
        <w:pStyle w:val="ListNumber"/>
      </w:pPr>
      <w:r>
        <w:t>Проверьте автоматически определённого контрагента; при неоднозначности выберите вручную.</w:t>
      </w:r>
    </w:p>
    <w:p>
      <w:pPr>
        <w:pStyle w:val="ListNumber"/>
      </w:pPr>
      <w:r>
        <w:t>Завершите регистрацию входящего.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0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65D66"/>
          <w:sz w:val="17"/>
        </w:rPr>
        <w:t>Почтовая очередь и triage входящих сообщений.</w:t>
      </w:r>
    </w:p>
    <w:p>
      <w:pPr>
        <w:pStyle w:val="Heading1"/>
      </w:pPr>
      <w:r>
        <w:t>11. Поиск, фильтры и сохранённые представления</w:t>
      </w:r>
    </w:p>
    <w:p>
      <w:pPr>
        <w:pStyle w:val="ListBullet"/>
      </w:pPr>
      <w:r>
        <w:t>Используйте строку поиска для быстрого поиска по доступным документам.</w:t>
      </w:r>
    </w:p>
    <w:p>
      <w:pPr>
        <w:pStyle w:val="ListBullet"/>
      </w:pPr>
      <w:r>
        <w:t>Применяйте фильтры по типу, статусу, датам и другим доступным полям.</w:t>
      </w:r>
    </w:p>
    <w:p>
      <w:pPr>
        <w:pStyle w:val="ListBullet"/>
      </w:pPr>
      <w:r>
        <w:t>Сохранённые представления позволяют возвращаться к типовой комбинации фильтров.</w:t>
      </w:r>
    </w:p>
    <w:p>
      <w:pPr>
        <w:pStyle w:val="ListBullet"/>
      </w:pPr>
      <w:r>
        <w:t>Импорт/экспорт и пакетные операции доступны только при наличии соответствующих разрешений.</w:t>
      </w:r>
    </w:p>
    <w:p>
      <w:pPr>
        <w:pStyle w:val="Heading1"/>
      </w:pPr>
      <w:r>
        <w:t>12. Уведомления</w:t>
      </w:r>
    </w:p>
    <w:p>
      <w:r>
        <w:t>Уведомления информируют о назначенных задачах, сроках и событиях, предусмотренных рабочим процессом. Отметка уведомления не заменяет изменение статуса задачи или документа.</w:t>
      </w:r>
    </w:p>
    <w:p>
      <w:pPr>
        <w:pStyle w:val="Heading1"/>
      </w:pPr>
      <w:r>
        <w:t>13. Публичная проверка документов</w:t>
      </w:r>
    </w:p>
    <w:p>
      <w:r>
        <w:t>Публичный статус разделён на два шлюза. Исходящие проверяются по номеру и дате через отдельный verification gateway. Входящие могут проверяться как по регистрационному номеру организации, так и по исходящему номеру/дате отправителя. Публичная выдача минимальна и не раскрывает содержание документа, исполнителей и внутренние резолюции.</w:t>
      </w:r>
    </w:p>
    <w:p>
      <w:pPr>
        <w:pStyle w:val="Heading1"/>
      </w:pPr>
      <w:r>
        <w:t>14. Лицензионные состояния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Состояние</w:t>
            </w:r>
          </w:p>
        </w:tc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Что видит пользователь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VALID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Полная функциональность.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GRACE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Полная функциональность, но администратор получает предупреждение; срок grace — 7 календарных дней.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READ_ONLY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Вход, просмотр, поиск, скачивание и экспорт доступны; операции записи блокируются.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PENDING_ACTIVATION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Доступны только активация и диагностика.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CLOCK_ROLLBACK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Read-only до восстановления корректного системного времени.</w:t>
            </w:r>
          </w:p>
        </w:tc>
      </w:tr>
    </w:tbl>
    <w:p/>
    <w:p>
      <w:pPr>
        <w:pStyle w:val="Heading1"/>
      </w:pPr>
      <w:r>
        <w:t>15. Ошибки, справка и восстановление работы</w:t>
      </w:r>
    </w:p>
    <w:p>
      <w:r>
        <w:t>Все штатно обработанные ошибки отображаются внутри интерфейса системы и содержат путь выхода: «Назад», переход на главную либо в связанный раздел. Если отображается код запроса/request_id, передайте его администратору вместе со временем и выполняемым действием.</w:t>
      </w:r>
    </w:p>
    <w:p>
      <w:pPr>
        <w:pStyle w:val="ListNumber"/>
      </w:pPr>
      <w:r>
        <w:t>Не повторяйте многократно операцию, если она могла частично изменить данные.</w:t>
      </w:r>
    </w:p>
    <w:p>
      <w:pPr>
        <w:pStyle w:val="ListNumber"/>
      </w:pPr>
      <w:r>
        <w:t>Скопируйте код ошибки/request_id.</w:t>
      </w:r>
    </w:p>
    <w:p>
      <w:pPr>
        <w:pStyle w:val="ListNumber"/>
      </w:pPr>
      <w:r>
        <w:t>Проверьте встроенную справку.</w:t>
      </w:r>
    </w:p>
    <w:p>
      <w:pPr>
        <w:pStyle w:val="ListNumber"/>
      </w:pPr>
      <w:r>
        <w:t>Если проблема сохраняется, сообщите администратору URL, время, действие и код ошибки.</w:t>
      </w:r>
    </w:p>
    <w:p>
      <w:pPr>
        <w:pStyle w:val="Heading1"/>
      </w:pPr>
      <w:r>
        <w:t>16. Безопасная работа и персональные данные</w:t>
      </w:r>
    </w:p>
    <w:p>
      <w:r>
        <w:t>Система является инструментом обработки информации; правовое основание обработки персональных данных и режим доступа определяет организация-оператор. Пользователь должен работать только с теми данными, доступ к которым предоставлен служебными полномочиями.</w:t>
      </w:r>
    </w:p>
    <w:p>
      <w:pPr>
        <w:pStyle w:val="ListBullet"/>
      </w:pPr>
      <w:r>
        <w:t>Не передавайте пароль другим лицам.</w:t>
      </w:r>
    </w:p>
    <w:p>
      <w:pPr>
        <w:pStyle w:val="ListBullet"/>
      </w:pPr>
      <w:r>
        <w:t>Не скачивайте документы на неуправляемые устройства без служебной необходимости.</w:t>
      </w:r>
    </w:p>
    <w:p>
      <w:pPr>
        <w:pStyle w:val="ListBullet"/>
      </w:pPr>
      <w:r>
        <w:t>Не размещайте в полях формы избыточные персональные данные, не нужные для цели документа.</w:t>
      </w:r>
    </w:p>
    <w:p>
      <w:pPr>
        <w:pStyle w:val="ListBullet"/>
      </w:pPr>
      <w:r>
        <w:t>При ошибочной загрузке чувствительного файла сообщите администратору; простое удаление из интерфейса может не означать немедленное уничтожение резервных копий.</w:t>
      </w:r>
    </w:p>
    <w:p>
      <w:pPr>
        <w:pStyle w:val="Heading1"/>
      </w:pPr>
      <w:r>
        <w:t>17. Глоссарий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Термин</w:t>
            </w:r>
          </w:p>
        </w:tc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Контур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Входящий, исходящий или внутренний поток документов.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Регистрация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Присвоение документу регистрационных реквизитов и фиксация в журнале.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Ручной номер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Номер, явно заданный пользователем вместо автоматического.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Поручение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Контролируемая задача, связанная с документом.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Контролёр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Пользователь, проверяющий исполнение.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Triage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Классификация почтового сообщения/вложений перед регистрацией.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Read-only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Режим, в котором изменение данных запрещено.</w:t>
            </w:r>
          </w:p>
        </w:tc>
      </w:tr>
    </w:tbl>
    <w:p/>
    <w:p>
      <w:pPr>
        <w:pStyle w:val="Heading1"/>
      </w:pPr>
      <w:r>
        <w:t>Правовые ориентиры</w:t>
      </w:r>
    </w:p>
    <w:p>
      <w:r>
        <w:t>При использовании системы для обработки персональных данных организация самостоятельно определяет цели, состав данных, сроки хранения и меры защиты. Актуальные нормы: Федеральный закон № 152-ФЗ «О персональных данных» (ст. 9, 18, 18.1, 19, 22); Федеральный закон № 149-ФЗ «Об информации, информационных технологиях и о защите информации» (ст. 16).</w:t>
      </w:r>
    </w:p>
    <w:p>
      <w:r>
        <w:t>Официальный текст 152-ФЗ: https://pravo.gov.ru/  |  Справочно: https://www.consultant.ru/document/cons_doc_LAW_61801/</w:t>
        <w:br/>
        <w:t>149-ФЗ, ст. 16: https://www.consultant.ru/document/cons_doc_LAW_61798/0e9ec16b786dcbdaaa7f44abfc4a15e601d5be22/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65D66"/>
        <w:sz w:val="16"/>
      </w:rPr>
      <w:t xml:space="preserve">ООО «К-РЕГЛАМЕНТ»  •  Документация production-версии 1.0  •  </w:t>
    </w: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465D66"/>
        <w:sz w:val="16"/>
      </w:rPr>
      <w:t>К-РЕГЛАМЕНТ Про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1F29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F293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465D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F293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1F293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