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12000" cy="121697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reg-prod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12169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Руководство администратора</w:t>
      </w:r>
    </w:p>
    <w:p>
      <w:r>
        <w:rPr>
          <w:color w:val="465D66"/>
          <w:sz w:val="28"/>
        </w:rPr>
        <w:t>К-РЕГЛАМЕНТ Про 1.0</w:t>
      </w:r>
    </w:p>
    <w:p>
      <w:r>
        <w:rPr>
          <w:color w:val="465D66"/>
          <w:sz w:val="18"/>
        </w:rPr>
        <w:t>Версия документа: 1.0  |  Август 2026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1F2930"/>
            <w:tcMar>
              <w:top w:w="220" w:type="dxa"/>
              <w:start w:w="220" w:type="dxa"/>
              <w:bottom w:w="220" w:type="dxa"/>
              <w:end w:w="220" w:type="dxa"/>
            </w:tcMar>
          </w:tcPr>
          <w:p>
            <w:r>
              <w:rPr>
                <w:b/>
                <w:color w:val="FFFFFF"/>
                <w:sz w:val="26"/>
              </w:rPr>
              <w:t>Документооборот и контроль исполнения поручений</w:t>
            </w:r>
          </w:p>
        </w:tc>
      </w:tr>
    </w:tbl>
    <w:p>
      <w:r>
        <w:br w:type="page"/>
      </w:r>
    </w:p>
    <w:p>
      <w:pPr>
        <w:pStyle w:val="Heading1"/>
      </w:pPr>
      <w:r>
        <w:t>Содержание</w:t>
      </w:r>
    </w:p>
    <w:p>
      <w:r>
        <w:rPr>
          <w:b/>
          <w:color w:val="1F2930"/>
        </w:rPr>
        <w:t>01  Архитектура и требования</w:t>
      </w:r>
    </w:p>
    <w:p>
      <w:r>
        <w:rPr>
          <w:b/>
          <w:color w:val="1F2930"/>
        </w:rPr>
        <w:t>02  Чистая установка</w:t>
      </w:r>
    </w:p>
    <w:p>
      <w:r>
        <w:rPr>
          <w:b/>
          <w:color w:val="1F2930"/>
        </w:rPr>
        <w:t>03  Лицензирование и активация</w:t>
      </w:r>
    </w:p>
    <w:p>
      <w:r>
        <w:rPr>
          <w:b w:val="0"/>
          <w:color w:val="1F2930"/>
        </w:rPr>
        <w:t>04  Организация и брендирование</w:t>
      </w:r>
    </w:p>
    <w:p>
      <w:r>
        <w:rPr>
          <w:b w:val="0"/>
          <w:color w:val="1F2930"/>
        </w:rPr>
        <w:t>05  Пользователи, подразделения и сотрудники</w:t>
      </w:r>
    </w:p>
    <w:p>
      <w:r>
        <w:rPr>
          <w:b w:val="0"/>
          <w:color w:val="1F2930"/>
        </w:rPr>
        <w:t>06  RBAC</w:t>
      </w:r>
    </w:p>
    <w:p>
      <w:r>
        <w:rPr>
          <w:b w:val="0"/>
          <w:color w:val="1F2930"/>
        </w:rPr>
        <w:t>07  Типы и группы документов</w:t>
      </w:r>
    </w:p>
    <w:p>
      <w:r>
        <w:rPr>
          <w:b w:val="0"/>
          <w:color w:val="1F2930"/>
        </w:rPr>
        <w:t>08  Нумерация</w:t>
      </w:r>
    </w:p>
    <w:p>
      <w:r>
        <w:rPr>
          <w:b w:val="0"/>
          <w:color w:val="1F2930"/>
        </w:rPr>
        <w:t>09  Почтовые ящики и ingestion</w:t>
      </w:r>
    </w:p>
    <w:p>
      <w:r>
        <w:rPr>
          <w:b w:val="0"/>
          <w:color w:val="1F2930"/>
        </w:rPr>
        <w:t>10  Планировщик и фоновые задания</w:t>
      </w:r>
    </w:p>
    <w:p>
      <w:r>
        <w:rPr>
          <w:b w:val="0"/>
          <w:color w:val="1F2930"/>
        </w:rPr>
        <w:t>11  Публичные шлюзы</w:t>
      </w:r>
    </w:p>
    <w:p>
      <w:r>
        <w:rPr>
          <w:b w:val="0"/>
          <w:color w:val="1F2930"/>
        </w:rPr>
        <w:t>12  Хранилище и резервное копирование</w:t>
      </w:r>
    </w:p>
    <w:p>
      <w:r>
        <w:rPr>
          <w:b w:val="0"/>
          <w:color w:val="1F2930"/>
        </w:rPr>
        <w:t>13  System Health и preflight</w:t>
      </w:r>
    </w:p>
    <w:p>
      <w:r>
        <w:rPr>
          <w:b w:val="0"/>
          <w:color w:val="1F2930"/>
        </w:rPr>
        <w:t>14  Журналы и диагностика</w:t>
      </w:r>
    </w:p>
    <w:p>
      <w:r>
        <w:rPr>
          <w:b w:val="0"/>
          <w:color w:val="1F2930"/>
        </w:rPr>
        <w:t>15  Безопасность</w:t>
      </w:r>
    </w:p>
    <w:p>
      <w:r>
        <w:rPr>
          <w:b w:val="0"/>
          <w:color w:val="1F2930"/>
        </w:rPr>
        <w:t>16  Персональные данные и право РФ</w:t>
      </w:r>
    </w:p>
    <w:p>
      <w:r>
        <w:rPr>
          <w:b w:val="0"/>
          <w:color w:val="1F2930"/>
        </w:rPr>
        <w:t>17  Лицензионное право на программу</w:t>
      </w:r>
    </w:p>
    <w:p>
      <w:r>
        <w:rPr>
          <w:b w:val="0"/>
          <w:color w:val="1F2930"/>
        </w:rPr>
        <w:t>18  Эксплуатационный регламент</w:t>
      </w:r>
    </w:p>
    <w:p>
      <w:r>
        <w:rPr>
          <w:b w:val="0"/>
          <w:color w:val="1F2930"/>
        </w:rPr>
        <w:t>19  Типовые неисправности</w:t>
      </w:r>
    </w:p>
    <w:p>
      <w:r>
        <w:br w:type="page"/>
      </w:r>
    </w:p>
    <w:p>
      <w:pPr>
        <w:pStyle w:val="Heading1"/>
      </w:pPr>
      <w:r>
        <w:t>1. Архитектура и требования</w:t>
      </w:r>
    </w:p>
    <w:p>
      <w:r>
        <w:t>К-РЕГЛАМЕНТ Про 1.0 — server-rendered PHP-приложение с PHPTAL, MariaDB/MySQL через PDO и файловым хранилищем вне публичной логики. Production-релиз рассчитан прежде всего на чистую установку; upgrade-скрипты сохраняются как средство разработки и обслуживания.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5043"/>
            <w:shd w:fill="1F293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Компонент</w:t>
            </w:r>
          </w:p>
        </w:tc>
        <w:tc>
          <w:tcPr>
            <w:tcW w:type="dxa" w:w="5043"/>
            <w:shd w:fill="1F293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Требование/роль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PHP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8.3.7+; production rehearsal подтверждался на PHP 8.4.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MariaDB/MySQL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PDO MySQL; отдельная БД и пользователь.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PHPTAL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Обязателен для шаблонов.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sodium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Проверка Ed25519-лицензии.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mbstring, zip, XML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Требуются для штатных сценариев и preflight.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IMAP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Опционально; требуется для почтовой очереди.</w:t>
            </w:r>
          </w:p>
        </w:tc>
      </w:tr>
    </w:tbl>
    <w:p/>
    <w:p>
      <w:pPr>
        <w:pStyle w:val="Heading1"/>
      </w:pPr>
      <w:r>
        <w:t>2. Чистая установка</w:t>
      </w:r>
    </w:p>
    <w:p>
      <w:pPr>
        <w:pStyle w:val="ListNumber"/>
      </w:pPr>
      <w:r>
        <w:t>Создайте отдельную пустую БД MariaDB/MySQL и пользователя с правами на неё.</w:t>
      </w:r>
    </w:p>
    <w:p>
      <w:pPr>
        <w:pStyle w:val="ListNumber"/>
      </w:pPr>
      <w:r>
        <w:t>Распакуйте production ZIP в корень приложения.</w:t>
      </w:r>
    </w:p>
    <w:p>
      <w:pPr>
        <w:pStyle w:val="ListNumber"/>
      </w:pPr>
      <w:r>
        <w:t>Установите PHP 8.3.7+ и необходимые расширения.</w:t>
      </w:r>
    </w:p>
    <w:p>
      <w:pPr>
        <w:pStyle w:val="ListNumber"/>
      </w:pPr>
      <w:r>
        <w:t>Откройте `install.php` и заполните параметры БД и первого администратора.</w:t>
      </w:r>
    </w:p>
    <w:p>
      <w:pPr>
        <w:pStyle w:val="ListNumber"/>
      </w:pPr>
      <w:r>
        <w:t>Завершите установку и сформируйте activation request.</w:t>
      </w:r>
    </w:p>
    <w:p>
      <w:pPr>
        <w:pStyle w:val="ListNumber"/>
      </w:pPr>
      <w:r>
        <w:t>Получите подписанный `license.lic` и загрузите его в «Настройки → Лицензия».</w:t>
      </w:r>
    </w:p>
    <w:p>
      <w:pPr>
        <w:pStyle w:val="ListNumber"/>
      </w:pPr>
      <w:r>
        <w:t>После активации выполните `php scripts/preflight.php`.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4F5F7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b/>
                <w:color w:val="465D66"/>
              </w:rPr>
              <w:t>Production</w:t>
              <w:br/>
            </w:r>
            <w:r>
              <w:t>Не используйте `display_errors=On`. Ошибки должны журналироваться (`log_errors=On`) и отображаться пользователю через штатные страницы ошибок без технического stack trace.</w:t>
            </w:r>
          </w:p>
        </w:tc>
      </w:tr>
    </w:tbl>
    <w:p/>
    <w:p>
      <w:pPr>
        <w:pStyle w:val="Heading1"/>
      </w:pPr>
      <w:r>
        <w:t>3. Лицензирование и активация</w:t>
      </w:r>
    </w:p>
    <w:p>
      <w:r>
        <w:t>Лицензирование полностью офлайн. Production License привязывается к `instance_id` и явно разрешённым hostnames. Developer License подписывается тем же криптографическим контуром, но может не иметь instance binding и рассчитана по умолчанию на 90 дней. Grace period срочной лицензии — 7 календарных дней.</w:t>
      </w:r>
    </w:p>
    <w:p>
      <w:pPr>
        <w:pStyle w:val="ListNumber"/>
      </w:pPr>
      <w:r>
        <w:t>Скачайте `activation-request.json`.</w:t>
      </w:r>
    </w:p>
    <w:p>
      <w:pPr>
        <w:pStyle w:val="ListNumber"/>
      </w:pPr>
      <w:r>
        <w:t>В отдельном K-REG License Center выпустите Production или Developer License.</w:t>
      </w:r>
    </w:p>
    <w:p>
      <w:pPr>
        <w:pStyle w:val="ListNumber"/>
      </w:pPr>
      <w:r>
        <w:t>Проверьте `key_id`, instance и список hosts.</w:t>
      </w:r>
    </w:p>
    <w:p>
      <w:pPr>
        <w:pStyle w:val="ListNumber"/>
      </w:pPr>
      <w:r>
        <w:t>Загрузите `license.lic`.</w:t>
      </w:r>
    </w:p>
    <w:p>
      <w:pPr>
        <w:pStyle w:val="ListNumber"/>
      </w:pPr>
      <w:r>
        <w:t>Проверьте статус в System Health.</w:t>
      </w:r>
    </w:p>
    <w:p>
      <w:pPr>
        <w:pStyle w:val="Heading1"/>
      </w:pPr>
      <w:r>
        <w:t>4. Организация и брендирование</w:t>
      </w:r>
    </w:p>
    <w:p>
      <w:r>
        <w:t>В настройках организации задаются наименование, реквизиты и брендовые элементы интерфейса. Не используйте брендирование для подмены юридически значимых реквизитов в документах: фактические регистрационные данные должны определяться локальными нормативными актами и источниками организации.</w:t>
      </w:r>
    </w:p>
    <w:p>
      <w:pPr>
        <w:pStyle w:val="Heading1"/>
      </w:pPr>
      <w:r>
        <w:t>5. Пользователи, подразделения и сотрудники</w:t>
      </w:r>
    </w:p>
    <w:p>
      <w:pPr>
        <w:pStyle w:val="ListBullet"/>
      </w:pPr>
      <w:r>
        <w:t>Справочник подразделений определяет структуру организации.</w:t>
      </w:r>
    </w:p>
    <w:p>
      <w:pPr>
        <w:pStyle w:val="ListBullet"/>
      </w:pPr>
      <w:r>
        <w:t>Карточка сотрудника связывает пользователя с подразделением и непосредственным руководителем.</w:t>
      </w:r>
    </w:p>
    <w:p>
      <w:pPr>
        <w:pStyle w:val="ListBullet"/>
      </w:pPr>
      <w:r>
        <w:t>Корректный руководитель нужен для автоматического согласования внутренних документов.</w:t>
      </w:r>
    </w:p>
    <w:p>
      <w:pPr>
        <w:pStyle w:val="ListBullet"/>
      </w:pPr>
      <w:r>
        <w:t>Контрагенты и их контакты используются при регистрации документов и сопоставлении почтовых отправителей.</w:t>
      </w:r>
    </w:p>
    <w:p>
      <w:pPr>
        <w:pStyle w:val="Heading1"/>
      </w:pPr>
      <w:r>
        <w:t>6. RBAC</w:t>
      </w:r>
    </w:p>
    <w:p>
      <w:r>
        <w:t>Права назначаются раздельно. Особое внимание: создание документов, редактирование с новой версией, редактирование без версии, удаление в корзину и физическое удаление — разные полномочия. Принцип минимально необходимых привилегий должен применяться и к пользовательским, и к административным ролям.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FF3EA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b/>
                <w:color w:val="FF6B1A"/>
              </w:rPr>
              <w:t>Критические права</w:t>
              <w:br/>
            </w:r>
            <w:r>
              <w:t>Физическое удаление из БД/журналов и изменение модели доступа назначайте только ограниченному кругу администраторов.</w:t>
            </w:r>
          </w:p>
        </w:tc>
      </w:tr>
    </w:tbl>
    <w:p/>
    <w:p>
      <w:pPr>
        <w:pStyle w:val="Heading1"/>
      </w:pPr>
      <w:r>
        <w:t>7. Типы и группы документов</w:t>
      </w:r>
    </w:p>
    <w:p>
      <w:r>
        <w:t>Группы и типы должны принадлежать соответствующему документному контуру. В карточке типа внутреннего документа настраиваются «Доступен для создания сотрудником» и «Требуется согласование непосредственного руководителя». Неверная классификация типа может открыть пользователю нелогичный маршрут регистрации.</w:t>
      </w:r>
    </w:p>
    <w:p>
      <w:pPr>
        <w:pStyle w:val="Heading1"/>
      </w:pPr>
      <w:r>
        <w:t>8. Нумерация</w:t>
      </w:r>
    </w:p>
    <w:p>
      <w:r>
        <w:t>Конструктор шаблонов нумерации позволяет собирать номер из доступных плейсхолдеров и сразу видеть пример. При регистрации пользователю показывается применяемый шаблон и будущий номер. Поле `manual_number` должно использоваться только для осознанного сохранения внешнего/исторического номера, не совпадающего с автоматической последовательностью.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000" cy="400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tting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0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color w:val="465D66"/>
          <w:sz w:val="17"/>
        </w:rPr>
        <w:t>Настройки — основной административный контур.</w:t>
      </w:r>
    </w:p>
    <w:p>
      <w:pPr>
        <w:pStyle w:val="Heading1"/>
      </w:pPr>
      <w:r>
        <w:t>9. Почтовые ящики и ingestion</w:t>
      </w:r>
    </w:p>
    <w:p>
      <w:r>
        <w:t>Пароли почтовых ящиков не должны храниться в открытом виде в БД. MailSecretProvider получает секреты из защищённой конфигурации/окружения. Для каждого ящика задавайте понятное имя, email и правила обработки. AUTO_REGISTER не регистрирует письмо с вложениями вслепую: оно переводится в triage, если требуется классификация файлов.</w:t>
      </w:r>
    </w:p>
    <w:p>
      <w:pPr>
        <w:pStyle w:val="Heading1"/>
      </w:pPr>
      <w:r>
        <w:t>10. Планировщик и фоновые задания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5043"/>
            <w:shd w:fill="1F293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Команда</w:t>
            </w:r>
          </w:p>
        </w:tc>
        <w:tc>
          <w:tcPr>
            <w:tcW w:type="dxa" w:w="5043"/>
            <w:shd w:fill="1F293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Назначение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php scripts/scheduler.php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Запуск планировщика.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php scripts/mail_ingest.php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Загрузка и обработка почты.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php scripts/task_notifications.php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Уведомления по задачам.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php scripts/outgoing_response_control_notifications.php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Контроль отсутствия ответа по исходящим.</w:t>
            </w:r>
          </w:p>
        </w:tc>
      </w:tr>
    </w:tbl>
    <w:p/>
    <w:p>
      <w:r>
        <w:t>При недействительной лицензии фоновые mutation jobs должны завершаться до подключения к БД или до изменения состояния.</w:t>
      </w:r>
    </w:p>
    <w:p>
      <w:pPr>
        <w:pStyle w:val="Heading1"/>
      </w:pPr>
      <w:r>
        <w:t>11. Публичные шлюзы</w:t>
      </w:r>
    </w:p>
    <w:p>
      <w:r>
        <w:t>К-РЕГЛАМЕНТ Про предоставляет только защищённый Public Verification API. Публичные сайты `verify` и `trackit` работают как stateless gateways и не получают доступ к БД. Для каждого шлюза задаётся отдельный HMAC secret длиной не менее 24 символов; secrets обязаны различаться.</w:t>
      </w:r>
    </w:p>
    <w:p>
      <w:pPr>
        <w:pStyle w:val="ListBullet"/>
      </w:pPr>
      <w:r>
        <w:t>`PUBLIC_GATEWAY_VERIFY_SECRET` — проверка исходящих.</w:t>
      </w:r>
    </w:p>
    <w:p>
      <w:pPr>
        <w:pStyle w:val="ListBullet"/>
      </w:pPr>
      <w:r>
        <w:t>`PUBLIC_GATEWAY_TRACKIT_SECRET` — проверка входящих.</w:t>
      </w:r>
    </w:p>
    <w:p>
      <w:pPr>
        <w:pStyle w:val="ListBullet"/>
      </w:pPr>
      <w:r>
        <w:t>Нельзя использовать один secret для двух направлений.</w:t>
      </w:r>
    </w:p>
    <w:p>
      <w:pPr>
        <w:pStyle w:val="ListBullet"/>
      </w:pPr>
      <w:r>
        <w:t>API проверяет timestamp, nonce и HMAC; повтор nonce отклоняется.</w:t>
      </w:r>
    </w:p>
    <w:p>
      <w:pPr>
        <w:pStyle w:val="Heading1"/>
      </w:pPr>
      <w:r>
        <w:t>12. Хранилище и резервное копирование</w:t>
      </w:r>
    </w:p>
    <w:p>
      <w:r>
        <w:t>В резервную копию должны входить БД, файловое хранилище документов, настройки, `storage/private/license/instance.json`, активный `license.lic` и необходимые конфигурационные секреты. `instance_id` нужно сохранять при аварийном восстановлении, иначе восстановленная установка потребует перевыпуска лицензии.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FF3EA"/>
            <w:tcMar>
              <w:top w:w="160" w:type="dxa"/>
              <w:start w:w="180" w:type="dxa"/>
              <w:bottom w:w="160" w:type="dxa"/>
              <w:end w:w="180" w:type="dxa"/>
            </w:tcMar>
          </w:tcPr>
          <w:p>
            <w:r>
              <w:rPr>
                <w:b/>
                <w:color w:val="FF6B1A"/>
              </w:rPr>
              <w:t>Проверка восстановления</w:t>
              <w:br/>
            </w:r>
            <w:r>
              <w:t>Резервная копия считается рабочей только после периодического тестового восстановления в отдельном контуре.</w:t>
            </w:r>
          </w:p>
        </w:tc>
      </w:tr>
    </w:tbl>
    <w:p/>
    <w:p>
      <w:pPr>
        <w:pStyle w:val="Heading1"/>
      </w:pPr>
      <w:r>
        <w:t>13. System Health и preflight</w:t>
      </w:r>
    </w:p>
    <w:p>
      <w:r>
        <w:t>Перед вводом в эксплуатацию и после изменения окружения выполните:</w:t>
      </w:r>
    </w:p>
    <w:p>
      <w:r>
        <w:rPr>
          <w:rFonts w:ascii="Courier New" w:hAnsi="Courier New"/>
          <w:color w:val="465D66"/>
          <w:sz w:val="18"/>
        </w:rPr>
        <w:t>php scripts/verify-bootstrap-classes.php</w:t>
      </w:r>
    </w:p>
    <w:p>
      <w:r>
        <w:rPr>
          <w:rFonts w:ascii="Courier New" w:hAnsi="Courier New"/>
          <w:color w:val="465D66"/>
          <w:sz w:val="18"/>
        </w:rPr>
        <w:t>php scripts/verify-mariadb-sql.php</w:t>
      </w:r>
    </w:p>
    <w:p>
      <w:r>
        <w:rPr>
          <w:rFonts w:ascii="Courier New" w:hAnsi="Courier New"/>
          <w:color w:val="465D66"/>
          <w:sz w:val="18"/>
        </w:rPr>
        <w:t>php scripts/verify-clean-install-schema.php</w:t>
      </w:r>
    </w:p>
    <w:p>
      <w:r>
        <w:rPr>
          <w:rFonts w:ascii="Courier New" w:hAnsi="Courier New"/>
          <w:color w:val="465D66"/>
          <w:sz w:val="18"/>
        </w:rPr>
        <w:t>php scripts/verify-template-contracts.php</w:t>
      </w:r>
    </w:p>
    <w:p>
      <w:r>
        <w:rPr>
          <w:rFonts w:ascii="Courier New" w:hAnsi="Courier New"/>
          <w:color w:val="465D66"/>
          <w:sz w:val="18"/>
        </w:rPr>
        <w:t>php scripts/preflight.php</w:t>
      </w:r>
    </w:p>
    <w:p>
      <w:pPr>
        <w:pStyle w:val="Heading1"/>
      </w:pPr>
      <w:r>
        <w:t>14. Журналы и диагностика</w:t>
      </w:r>
    </w:p>
    <w:p>
      <w:pPr>
        <w:pStyle w:val="ListBullet"/>
      </w:pPr>
      <w:r>
        <w:t>Используйте application log и request_id для поиска ошибок.</w:t>
      </w:r>
    </w:p>
    <w:p>
      <w:pPr>
        <w:pStyle w:val="ListBullet"/>
      </w:pPr>
      <w:r>
        <w:t>Не включайте stack trace в пользовательский интерфейс production.</w:t>
      </w:r>
    </w:p>
    <w:p>
      <w:pPr>
        <w:pStyle w:val="ListBullet"/>
      </w:pPr>
      <w:r>
        <w:t>После изменения PHPTAL-шаблонов очищайте `storage/tal-cache`.</w:t>
      </w:r>
    </w:p>
    <w:p>
      <w:pPr>
        <w:pStyle w:val="ListBullet"/>
      </w:pPr>
      <w:r>
        <w:t>Проверяйте права записи на каталоги логов, public status storage и файловое хранилище.</w:t>
      </w:r>
    </w:p>
    <w:p>
      <w:pPr>
        <w:pStyle w:val="Heading1"/>
      </w:pPr>
      <w:r>
        <w:t>15. Безопасность</w:t>
      </w:r>
    </w:p>
    <w:p>
      <w:r>
        <w:t>Базовый эксплуатационный профиль: HTTPS, `display_errors=Off`, `APP_DEBUG=off`, отдельный пользователь БД, минимальные filesystem permissions, резервное копирование, защищённое хранение почтовых и gateway secrets, контроль доступа по RBAC, регулярная проверка журналов и актуальности PHP/MariaDB.</w:t>
      </w:r>
    </w:p>
    <w:p>
      <w:r>
        <w:t>Федеральный закон № 149-ФЗ, ст. 16 определяет защиту информации как сочетание правовых, организационных и технических мер, в том числе защиту от неправомерного доступа и соблюдение конфиденциальности. Система предоставляет технические механизмы, но организационные и правовые меры остаются обязанностью эксплуатирующей организации.</w:t>
      </w:r>
    </w:p>
    <w:p>
      <w:pPr>
        <w:pStyle w:val="Heading1"/>
      </w:pPr>
      <w:r>
        <w:t>16. Персональные данные и право РФ</w:t>
      </w:r>
    </w:p>
    <w:p>
      <w:r>
        <w:t>Если в системе обрабатываются персональные данные, эксплуатирующая организация является оператором в смысле 152-ФЗ и самостоятельно определяет цели, состав и правовые основания обработки. К-РЕГЛАМЕНТ Про не заменяет локальные акты оператора.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5043"/>
            <w:shd w:fill="1F293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Норма</w:t>
            </w:r>
          </w:p>
        </w:tc>
        <w:tc>
          <w:tcPr>
            <w:tcW w:type="dxa" w:w="5043"/>
            <w:shd w:fill="1F293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Практический смысл для администратора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152-ФЗ, ст. 9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Согласие должно быть конкретным, предметным, информированным, сознательным и однозначным; с 01.09.2025 согласие оформляется отдельно от иных подтверждаемых документов.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152-ФЗ, ст. 18 ч. 5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При интернет-сборе ПД граждан РФ первичная запись/накопление и другие перечисленные операции должны осуществляться с использованием баз данных в РФ, кроме законных исключений.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152-ФЗ, ст. 18.1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Нужны политика и локальные акты; при сборе через сайт политика публикуется на соответствующих страницах.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152-ФЗ, ст. 19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Оператор принимает правовые, организационные и технические меры безопасности.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152-ФЗ, ст. 22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До начала обработки оператор уведомляет Роскомнадзор, кроме установленных законом исключений.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149-ФЗ, ст. 16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Нужны меры защиты информации от неправомерного доступа, изменения, уничтожения и иных угроз.</w:t>
            </w:r>
          </w:p>
        </w:tc>
      </w:tr>
    </w:tbl>
    <w:p/>
    <w:p>
      <w:r>
        <w:t>Ссылки на актуальные тексты:</w:t>
        <w:br/>
        <w:t>152-ФЗ: https://www.consultant.ru/document/cons_doc_LAW_61801/</w:t>
        <w:br/>
        <w:t>Ст. 18.1: https://www.consultant.ru/document/cons_doc_LAW_61801/eeeebe22bf738fd65bb66b95cc278911ae2525ee/</w:t>
        <w:br/>
        <w:t>Ст. 22: https://www.consultant.ru/document/cons_doc_LAW_61801/d996966e22e1320c9de1ab82d9f6be12c3d9d765/</w:t>
        <w:br/>
        <w:t>149-ФЗ, ст. 16: https://www.consultant.ru/document/cons_doc_LAW_61798/0e9ec16b786dcbdaaa7f44abfc4a15e601d5be22/</w:t>
      </w:r>
    </w:p>
    <w:p>
      <w:pPr>
        <w:pStyle w:val="Heading1"/>
      </w:pPr>
      <w:r>
        <w:t>17. Лицензионное право на программу</w:t>
      </w:r>
    </w:p>
    <w:p>
      <w:r>
        <w:t>Программа для ЭВМ охраняется авторским правом как литературное произведение (ГК РФ, ст. 1261). Предоставление права использования клиенту оформляется лицензионным договором с определением способов и пределов использования (ГК РФ, ст. 1235). Технический `license.lic` подтверждает штатную активацию, но не заменяет договорные условия между правообладателем и лицензиатом.</w:t>
      </w:r>
    </w:p>
    <w:p>
      <w:r>
        <w:t>ГК РФ, ст. 1261: https://www.consultant.ru/document/cons_doc_LAW_64629/ce1359ed5b9bd99896d7a496c7887e7c223a2cbc/</w:t>
        <w:br/>
        <w:t>ГК РФ, ст. 1235: https://www.consultant.ru/document/cons_doc_LAW_64629/640cbca01ece35bc535ffe5e6d96b7988d2daf6b/</w:t>
      </w:r>
    </w:p>
    <w:p>
      <w:pPr>
        <w:pStyle w:val="Heading1"/>
      </w:pPr>
      <w:r>
        <w:t>18. Эксплуатационный регламент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5043"/>
            <w:shd w:fill="1F293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Периодичность</w:t>
            </w:r>
          </w:p>
        </w:tc>
        <w:tc>
          <w:tcPr>
            <w:tcW w:type="dxa" w:w="5043"/>
            <w:shd w:fill="1F293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Рекомендуемая операция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Ежедневно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Контроль фоновых задач, очереди почты и ошибок.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Еженедельно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Проверка свободного места, неисполненных контролей и журналов безопасности.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Ежемесячно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Проверка восстановления из backup, актуальности пользователей/ролей, состояния лицензии.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После изменений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Полный `preflight.php`, очистка TAL cache при изменении шаблонов, smoke-test критических сценариев.</w:t>
            </w:r>
          </w:p>
        </w:tc>
      </w:tr>
    </w:tbl>
    <w:p/>
    <w:p>
      <w:pPr>
        <w:pStyle w:val="Heading1"/>
      </w:pPr>
      <w:r>
        <w:t>19. Типовые неисправности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5043"/>
            <w:shd w:fill="1F293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Симптом</w:t>
            </w:r>
          </w:p>
        </w:tc>
        <w:tc>
          <w:tcPr>
            <w:tcW w:type="dxa" w:w="5043"/>
            <w:shd w:fill="1F2930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18"/>
              </w:rPr>
              <w:t>Проверка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Белая/неоформленная ошибка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Проверьте error log и request_id; пользовательская ошибка должна рендериться через error shell.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PHPTAL_VariableNotFoundException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Очистите TAL cache, проверьте presenter/view-model contract.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403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Проверьте document root, `.htaccess`, права каталогов и web-server policy.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Ошибка миграции duplicate column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Не повторяйте production migration вслепую; production 1.0 рассчитан на clean install.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Лицензия не выбирается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В 1.0 file picker не ограничен `accept`; очистите cache и проверьте фактическую версию в footer.</w:t>
            </w:r>
          </w:p>
        </w:tc>
      </w:tr>
      <w:tr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READ_ONLY</w:t>
            </w:r>
          </w:p>
        </w:tc>
        <w:tc>
          <w:tcPr>
            <w:tcW w:type="dxa" w:w="50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sz w:val="17"/>
              </w:rPr>
              <w:t>Проверьте подпись, host, instance, срок и системное время.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1020" w:right="1020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465D66"/>
        <w:sz w:val="16"/>
      </w:rPr>
      <w:t xml:space="preserve">ООО «К-РЕГЛАМЕНТ»  •  Документация production-версии 1.0  •  </w:t>
    </w:r>
    <w: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color w:val="465D66"/>
        <w:sz w:val="16"/>
      </w:rPr>
      <w:t>К-РЕГЛАМЕНТ Про 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color w:val="1F29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1F2930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465D6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1F293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40"/>
      <w:contextualSpacing/>
    </w:pPr>
    <w:rPr>
      <w:rFonts w:asciiTheme="majorHAnsi" w:eastAsiaTheme="majorEastAsia" w:hAnsiTheme="majorHAnsi" w:cstheme="majorBidi" w:ascii="Arial" w:hAnsi="Arial"/>
      <w:b/>
      <w:color w:val="1F293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